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E941" w14:textId="77777777" w:rsidR="00D53774" w:rsidRPr="00FE1320" w:rsidRDefault="00801F05" w:rsidP="00801F05">
      <w:pPr>
        <w:spacing w:before="240"/>
        <w:rPr>
          <w:color w:val="0070C0"/>
          <w:sz w:val="36"/>
          <w:szCs w:val="36"/>
        </w:rPr>
      </w:pPr>
      <w:r w:rsidRPr="00D53774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0454CE" wp14:editId="166DAE09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233160" cy="4476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447675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C8B2B" w14:textId="77777777" w:rsidR="00B37818" w:rsidRPr="00801F05" w:rsidRDefault="00B37818" w:rsidP="00B3781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01F05">
                              <w:rPr>
                                <w:noProof/>
                                <w:color w:val="0070C0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C8A3271" wp14:editId="6CBE09AA">
                                  <wp:extent cx="2969895" cy="1534160"/>
                                  <wp:effectExtent l="0" t="0" r="1905" b="889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ARC Logo_CMYK.no text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69895" cy="1534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33B483" w14:textId="77777777" w:rsidR="00B37818" w:rsidRDefault="00B37818" w:rsidP="00B3781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801F05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Australian Resuscitation Council</w:t>
                            </w:r>
                          </w:p>
                          <w:p w14:paraId="5EE8DD61" w14:textId="4462E49A" w:rsidR="00320F14" w:rsidRPr="00801F05" w:rsidRDefault="00320F14" w:rsidP="00B3781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(Victoria</w:t>
                            </w:r>
                            <w:r w:rsidR="00DC55CE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Branch)</w:t>
                            </w:r>
                          </w:p>
                          <w:p w14:paraId="2BA0A86F" w14:textId="37FE292B" w:rsidR="00B37818" w:rsidRDefault="005217D1" w:rsidP="00B3781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Research Grant Scheme </w:t>
                            </w:r>
                            <w:r w:rsidR="00026051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14:paraId="561FE55C" w14:textId="6CCC3471" w:rsidR="00320F14" w:rsidRPr="00801F05" w:rsidRDefault="00320F14" w:rsidP="00B3781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Including the Tony Walker Research</w:t>
                            </w:r>
                            <w:r w:rsidR="00C25F0E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Grant</w:t>
                            </w:r>
                          </w:p>
                          <w:p w14:paraId="4D6A6F8F" w14:textId="77777777" w:rsidR="00B37818" w:rsidRPr="00801F05" w:rsidRDefault="00B37818" w:rsidP="00D5377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7469480" w14:textId="77777777" w:rsidR="00D53774" w:rsidRPr="00801F05" w:rsidRDefault="00D53774" w:rsidP="00DB744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1F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Instructions to applicants</w:t>
                            </w:r>
                          </w:p>
                          <w:p w14:paraId="39BB93EB" w14:textId="1BB8754B" w:rsidR="00D53774" w:rsidRPr="00DC61FC" w:rsidRDefault="009A7CB8" w:rsidP="00AE179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01F05">
                              <w:rPr>
                                <w:sz w:val="28"/>
                                <w:szCs w:val="28"/>
                              </w:rPr>
                              <w:t xml:space="preserve">Closing </w:t>
                            </w:r>
                            <w:r w:rsidRPr="00DC61FC">
                              <w:rPr>
                                <w:sz w:val="28"/>
                                <w:szCs w:val="28"/>
                              </w:rPr>
                              <w:t xml:space="preserve">date: </w:t>
                            </w:r>
                            <w:r w:rsidR="008810F6" w:rsidRPr="00DC61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Monday </w:t>
                            </w:r>
                            <w:r w:rsidR="00BF2914" w:rsidRPr="00DC61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="00AE1791" w:rsidRPr="00DC61FC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AE1791" w:rsidRPr="00DC61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2914" w:rsidRPr="00DC61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June</w:t>
                            </w:r>
                            <w:r w:rsidR="0096060A" w:rsidRPr="00DC61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2914" w:rsidRPr="00DC61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2025</w:t>
                            </w:r>
                            <w:r w:rsidR="0096060A" w:rsidRPr="00DC61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7AF5" w:rsidRPr="00DC61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5pm AEST</w:t>
                            </w:r>
                          </w:p>
                          <w:p w14:paraId="6C2678A8" w14:textId="77777777" w:rsidR="00D53774" w:rsidRPr="00801F05" w:rsidRDefault="00D53774" w:rsidP="00DB7440">
                            <w:pPr>
                              <w:spacing w:after="0"/>
                              <w:rPr>
                                <w:color w:val="595959" w:themeColor="text1" w:themeTint="A6"/>
                                <w:szCs w:val="24"/>
                              </w:rPr>
                            </w:pPr>
                            <w:r w:rsidRPr="00DC61FC"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  <w:t>Please read these</w:t>
                            </w:r>
                            <w:r w:rsidRPr="00801F05"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instructions carefully before completing the application form. </w:t>
                            </w:r>
                          </w:p>
                          <w:p w14:paraId="1AEFC084" w14:textId="77777777" w:rsidR="00D53774" w:rsidRPr="00801F05" w:rsidRDefault="00D53774" w:rsidP="00801F05">
                            <w:pPr>
                              <w:spacing w:after="0"/>
                              <w:rPr>
                                <w:b/>
                                <w:bCs/>
                                <w:sz w:val="21"/>
                                <w:szCs w:val="20"/>
                              </w:rPr>
                            </w:pPr>
                            <w:r w:rsidRPr="00801F05"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Late or incomplete applications will not be accepted.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454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3pt;width:490.8pt;height:352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" fillcolor="white [3201]" stroked="f" strokeweight="1pt">
                <v:textbox>
                  <w:txbxContent>
                    <w:p w14:paraId="3DBC8B2B" w14:textId="77777777" w:rsidR="00B37818" w:rsidRPr="00801F05" w:rsidRDefault="00B37818" w:rsidP="00B3781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01F05">
                        <w:rPr>
                          <w:noProof/>
                          <w:color w:val="0070C0"/>
                          <w:sz w:val="36"/>
                          <w:szCs w:val="36"/>
                        </w:rPr>
                        <w:drawing>
                          <wp:inline distT="0" distB="0" distL="0" distR="0" wp14:anchorId="4C8A3271" wp14:editId="6CBE09AA">
                            <wp:extent cx="2969895" cy="1534160"/>
                            <wp:effectExtent l="0" t="0" r="1905" b="889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ARC Logo_CMYK.no text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69895" cy="1534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33B483" w14:textId="77777777" w:rsidR="00B37818" w:rsidRDefault="00B37818" w:rsidP="00B37818">
                      <w:pPr>
                        <w:spacing w:after="0"/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801F05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Australian Resuscitation Council</w:t>
                      </w:r>
                    </w:p>
                    <w:p w14:paraId="5EE8DD61" w14:textId="4462E49A" w:rsidR="00320F14" w:rsidRPr="00801F05" w:rsidRDefault="00320F14" w:rsidP="00B37818">
                      <w:pPr>
                        <w:spacing w:after="0"/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(Victoria</w:t>
                      </w:r>
                      <w:r w:rsidR="00DC55CE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Branch)</w:t>
                      </w:r>
                    </w:p>
                    <w:p w14:paraId="2BA0A86F" w14:textId="37FE292B" w:rsidR="00B37818" w:rsidRDefault="005217D1" w:rsidP="00B37818">
                      <w:pPr>
                        <w:spacing w:after="0"/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Research Grant Scheme </w:t>
                      </w:r>
                      <w:r w:rsidR="00026051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2025</w:t>
                      </w:r>
                    </w:p>
                    <w:p w14:paraId="561FE55C" w14:textId="6CCC3471" w:rsidR="00320F14" w:rsidRPr="00801F05" w:rsidRDefault="00320F14" w:rsidP="00B37818">
                      <w:pPr>
                        <w:spacing w:after="0"/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Including the Tony Walker Research</w:t>
                      </w:r>
                      <w:r w:rsidR="00C25F0E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Grant</w:t>
                      </w:r>
                    </w:p>
                    <w:p w14:paraId="4D6A6F8F" w14:textId="77777777" w:rsidR="00B37818" w:rsidRPr="00801F05" w:rsidRDefault="00B37818" w:rsidP="00D5377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7469480" w14:textId="77777777" w:rsidR="00D53774" w:rsidRPr="00801F05" w:rsidRDefault="00D53774" w:rsidP="00DB744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01F05">
                        <w:rPr>
                          <w:b/>
                          <w:bCs/>
                          <w:sz w:val="28"/>
                          <w:szCs w:val="28"/>
                        </w:rPr>
                        <w:t>Instructions to applicants</w:t>
                      </w:r>
                    </w:p>
                    <w:p w14:paraId="39BB93EB" w14:textId="1BB8754B" w:rsidR="00D53774" w:rsidRPr="00DC61FC" w:rsidRDefault="009A7CB8" w:rsidP="00AE179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01F05">
                        <w:rPr>
                          <w:sz w:val="28"/>
                          <w:szCs w:val="28"/>
                        </w:rPr>
                        <w:t xml:space="preserve">Closing </w:t>
                      </w:r>
                      <w:r w:rsidRPr="00DC61FC">
                        <w:rPr>
                          <w:sz w:val="28"/>
                          <w:szCs w:val="28"/>
                        </w:rPr>
                        <w:t xml:space="preserve">date: </w:t>
                      </w:r>
                      <w:r w:rsidR="008810F6" w:rsidRPr="00DC61FC">
                        <w:rPr>
                          <w:b/>
                          <w:bCs/>
                          <w:sz w:val="28"/>
                          <w:szCs w:val="28"/>
                        </w:rPr>
                        <w:t xml:space="preserve">Monday </w:t>
                      </w:r>
                      <w:r w:rsidR="00BF2914" w:rsidRPr="00DC61FC">
                        <w:rPr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  <w:r w:rsidR="00AE1791" w:rsidRPr="00DC61FC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AE1791" w:rsidRPr="00DC61F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F2914" w:rsidRPr="00DC61FC">
                        <w:rPr>
                          <w:b/>
                          <w:bCs/>
                          <w:sz w:val="28"/>
                          <w:szCs w:val="28"/>
                        </w:rPr>
                        <w:t>June</w:t>
                      </w:r>
                      <w:r w:rsidR="0096060A" w:rsidRPr="00DC61F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F2914" w:rsidRPr="00DC61FC">
                        <w:rPr>
                          <w:b/>
                          <w:bCs/>
                          <w:sz w:val="28"/>
                          <w:szCs w:val="28"/>
                        </w:rPr>
                        <w:t>2025</w:t>
                      </w:r>
                      <w:r w:rsidR="0096060A" w:rsidRPr="00DC61F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D7AF5" w:rsidRPr="00DC61FC">
                        <w:rPr>
                          <w:b/>
                          <w:bCs/>
                          <w:sz w:val="28"/>
                          <w:szCs w:val="28"/>
                        </w:rPr>
                        <w:t>5pm AEST</w:t>
                      </w:r>
                    </w:p>
                    <w:p w14:paraId="6C2678A8" w14:textId="77777777" w:rsidR="00D53774" w:rsidRPr="00801F05" w:rsidRDefault="00D53774" w:rsidP="00DB7440">
                      <w:pPr>
                        <w:spacing w:after="0"/>
                        <w:rPr>
                          <w:color w:val="595959" w:themeColor="text1" w:themeTint="A6"/>
                          <w:szCs w:val="24"/>
                        </w:rPr>
                      </w:pPr>
                      <w:r w:rsidRPr="00DC61FC">
                        <w:rPr>
                          <w:color w:val="595959" w:themeColor="text1" w:themeTint="A6"/>
                          <w:sz w:val="28"/>
                          <w:szCs w:val="28"/>
                        </w:rPr>
                        <w:t>Please read these</w:t>
                      </w:r>
                      <w:r w:rsidRPr="00801F05">
                        <w:rPr>
                          <w:color w:val="595959" w:themeColor="text1" w:themeTint="A6"/>
                          <w:sz w:val="28"/>
                          <w:szCs w:val="28"/>
                        </w:rPr>
                        <w:t xml:space="preserve"> instructions carefully before completing the application form. </w:t>
                      </w:r>
                    </w:p>
                    <w:p w14:paraId="1AEFC084" w14:textId="77777777" w:rsidR="00D53774" w:rsidRPr="00801F05" w:rsidRDefault="00D53774" w:rsidP="00801F05">
                      <w:pPr>
                        <w:spacing w:after="0"/>
                        <w:rPr>
                          <w:b/>
                          <w:bCs/>
                          <w:sz w:val="21"/>
                          <w:szCs w:val="20"/>
                        </w:rPr>
                      </w:pPr>
                      <w:r w:rsidRPr="00801F05">
                        <w:rPr>
                          <w:color w:val="595959" w:themeColor="text1" w:themeTint="A6"/>
                          <w:sz w:val="28"/>
                          <w:szCs w:val="28"/>
                        </w:rPr>
                        <w:t xml:space="preserve">Late or incomplete applications will not be accepted.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362F">
        <w:rPr>
          <w:color w:val="0070C0"/>
          <w:sz w:val="36"/>
          <w:szCs w:val="36"/>
        </w:rPr>
        <w:t xml:space="preserve">Aims of the </w:t>
      </w:r>
      <w:r w:rsidR="00D53774" w:rsidRPr="00FE1320">
        <w:rPr>
          <w:color w:val="0070C0"/>
          <w:sz w:val="36"/>
          <w:szCs w:val="36"/>
        </w:rPr>
        <w:t>Scheme</w:t>
      </w:r>
    </w:p>
    <w:p w14:paraId="7AB9489D" w14:textId="3C9644EF" w:rsidR="009C7152" w:rsidRDefault="00D53774" w:rsidP="00D17732">
      <w:pPr>
        <w:rPr>
          <w:szCs w:val="24"/>
        </w:rPr>
      </w:pPr>
      <w:r>
        <w:rPr>
          <w:szCs w:val="24"/>
        </w:rPr>
        <w:t xml:space="preserve">The </w:t>
      </w:r>
      <w:r w:rsidR="004A7C52" w:rsidRPr="004A7C52">
        <w:rPr>
          <w:szCs w:val="24"/>
        </w:rPr>
        <w:t>Australian Resuscitation Council</w:t>
      </w:r>
      <w:r w:rsidR="004A7C52" w:rsidRPr="004A7C52">
        <w:rPr>
          <w:b/>
          <w:bCs/>
          <w:szCs w:val="24"/>
        </w:rPr>
        <w:t xml:space="preserve"> </w:t>
      </w:r>
      <w:r w:rsidR="00274E52" w:rsidRPr="00274E52">
        <w:rPr>
          <w:szCs w:val="24"/>
        </w:rPr>
        <w:t>(ARC)</w:t>
      </w:r>
      <w:r w:rsidR="005E72BE">
        <w:rPr>
          <w:szCs w:val="24"/>
        </w:rPr>
        <w:t xml:space="preserve"> Victoria</w:t>
      </w:r>
      <w:r w:rsidR="00DC55CE">
        <w:rPr>
          <w:szCs w:val="24"/>
        </w:rPr>
        <w:t>n</w:t>
      </w:r>
      <w:r w:rsidR="005E72BE">
        <w:rPr>
          <w:szCs w:val="24"/>
        </w:rPr>
        <w:t xml:space="preserve"> Branch</w:t>
      </w:r>
      <w:r w:rsidR="00274E52">
        <w:rPr>
          <w:b/>
          <w:bCs/>
          <w:szCs w:val="24"/>
        </w:rPr>
        <w:t xml:space="preserve"> </w:t>
      </w:r>
      <w:r w:rsidR="00FE1320">
        <w:rPr>
          <w:szCs w:val="24"/>
        </w:rPr>
        <w:t>R</w:t>
      </w:r>
      <w:r>
        <w:rPr>
          <w:szCs w:val="24"/>
        </w:rPr>
        <w:t xml:space="preserve">esearch </w:t>
      </w:r>
      <w:r w:rsidR="00FE1320">
        <w:rPr>
          <w:szCs w:val="24"/>
        </w:rPr>
        <w:t>G</w:t>
      </w:r>
      <w:r>
        <w:rPr>
          <w:szCs w:val="24"/>
        </w:rPr>
        <w:t xml:space="preserve">rant </w:t>
      </w:r>
      <w:r w:rsidR="00FE1320">
        <w:rPr>
          <w:szCs w:val="24"/>
        </w:rPr>
        <w:t xml:space="preserve">Scheme aims to </w:t>
      </w:r>
      <w:r w:rsidR="00E34405">
        <w:rPr>
          <w:szCs w:val="24"/>
        </w:rPr>
        <w:t xml:space="preserve">facilitate </w:t>
      </w:r>
      <w:r>
        <w:rPr>
          <w:szCs w:val="24"/>
        </w:rPr>
        <w:t>research</w:t>
      </w:r>
      <w:r w:rsidR="00FE1320">
        <w:rPr>
          <w:szCs w:val="24"/>
        </w:rPr>
        <w:t xml:space="preserve"> in resuscitation or first aid </w:t>
      </w:r>
      <w:r w:rsidR="00E34405">
        <w:rPr>
          <w:szCs w:val="24"/>
        </w:rPr>
        <w:t xml:space="preserve">practice </w:t>
      </w:r>
      <w:r w:rsidR="00FE1320">
        <w:rPr>
          <w:szCs w:val="24"/>
        </w:rPr>
        <w:t xml:space="preserve">in the Australian setting. </w:t>
      </w:r>
    </w:p>
    <w:p w14:paraId="3123A5DF" w14:textId="77777777" w:rsidR="00514B22" w:rsidRDefault="00FE1320" w:rsidP="005A2EB0">
      <w:pPr>
        <w:spacing w:after="0"/>
        <w:rPr>
          <w:szCs w:val="24"/>
        </w:rPr>
      </w:pPr>
      <w:r>
        <w:rPr>
          <w:szCs w:val="24"/>
        </w:rPr>
        <w:t>Preference will be given to projects that</w:t>
      </w:r>
      <w:r w:rsidR="00514B22">
        <w:rPr>
          <w:szCs w:val="24"/>
        </w:rPr>
        <w:t>:</w:t>
      </w:r>
    </w:p>
    <w:p w14:paraId="3F9F3926" w14:textId="39A1AEA3" w:rsidR="00514B22" w:rsidRDefault="00CF4281" w:rsidP="004A7C52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C</w:t>
      </w:r>
      <w:r w:rsidR="00FE1320" w:rsidRPr="00514B22">
        <w:rPr>
          <w:szCs w:val="24"/>
        </w:rPr>
        <w:t xml:space="preserve">an </w:t>
      </w:r>
      <w:r w:rsidR="004A7C52">
        <w:rPr>
          <w:szCs w:val="24"/>
        </w:rPr>
        <w:t xml:space="preserve">provide evidence to known </w:t>
      </w:r>
      <w:r w:rsidR="00FE1320" w:rsidRPr="00514B22">
        <w:rPr>
          <w:szCs w:val="24"/>
        </w:rPr>
        <w:t>gaps in scientific knowledge</w:t>
      </w:r>
    </w:p>
    <w:p w14:paraId="5A60382D" w14:textId="3CA0C327" w:rsidR="0038571E" w:rsidRDefault="00CF4281" w:rsidP="0038571E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A</w:t>
      </w:r>
      <w:r w:rsidR="0038571E">
        <w:rPr>
          <w:szCs w:val="24"/>
        </w:rPr>
        <w:t xml:space="preserve">ddress links in </w:t>
      </w:r>
      <w:r w:rsidR="0038571E" w:rsidRPr="00514B22">
        <w:rPr>
          <w:szCs w:val="24"/>
        </w:rPr>
        <w:t>the ‘Chain of Survival’</w:t>
      </w:r>
    </w:p>
    <w:p w14:paraId="3857FA3A" w14:textId="20FCBE17" w:rsidR="00FE1320" w:rsidRDefault="00CF4281" w:rsidP="00274E52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H</w:t>
      </w:r>
      <w:r w:rsidR="004A7C52">
        <w:rPr>
          <w:szCs w:val="24"/>
        </w:rPr>
        <w:t xml:space="preserve">ave translational potential </w:t>
      </w:r>
      <w:r w:rsidR="0038571E">
        <w:rPr>
          <w:szCs w:val="24"/>
        </w:rPr>
        <w:t>or will lead to larger project</w:t>
      </w:r>
      <w:r w:rsidR="00274E52">
        <w:rPr>
          <w:szCs w:val="24"/>
        </w:rPr>
        <w:t xml:space="preserve"> funding</w:t>
      </w:r>
      <w:r w:rsidR="0038571E">
        <w:rPr>
          <w:szCs w:val="24"/>
        </w:rPr>
        <w:t xml:space="preserve"> </w:t>
      </w:r>
    </w:p>
    <w:p w14:paraId="222761C8" w14:textId="7D3F581F" w:rsidR="00514B22" w:rsidRDefault="00CF4281" w:rsidP="00514B22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A</w:t>
      </w:r>
      <w:r w:rsidR="00514B22">
        <w:rPr>
          <w:szCs w:val="24"/>
        </w:rPr>
        <w:t xml:space="preserve">re likely to be completed within </w:t>
      </w:r>
      <w:r>
        <w:rPr>
          <w:szCs w:val="24"/>
        </w:rPr>
        <w:t>24</w:t>
      </w:r>
      <w:r w:rsidR="00514B22">
        <w:rPr>
          <w:szCs w:val="24"/>
        </w:rPr>
        <w:t>-months</w:t>
      </w:r>
    </w:p>
    <w:p w14:paraId="5BDEFFE9" w14:textId="4A33AB4B" w:rsidR="00D17732" w:rsidRPr="005E72BE" w:rsidRDefault="005E72BE" w:rsidP="006D4285">
      <w:pPr>
        <w:rPr>
          <w:szCs w:val="24"/>
        </w:rPr>
      </w:pPr>
      <w:r w:rsidRPr="005E72BE">
        <w:rPr>
          <w:szCs w:val="24"/>
        </w:rPr>
        <w:t xml:space="preserve">Funded grants deemed to be of exceptional quality will be awarded the </w:t>
      </w:r>
      <w:r w:rsidRPr="006D4285">
        <w:rPr>
          <w:b/>
          <w:bCs/>
          <w:szCs w:val="24"/>
        </w:rPr>
        <w:t>Tony Walker Research Grant</w:t>
      </w:r>
      <w:r w:rsidRPr="005E72BE">
        <w:rPr>
          <w:szCs w:val="24"/>
        </w:rPr>
        <w:t>. Tony Walker Chaired the Victorian Branch of the ARC for 15 years and provided inspirational leadership to the Branch.</w:t>
      </w:r>
    </w:p>
    <w:p w14:paraId="17F37155" w14:textId="77777777" w:rsidR="00B37818" w:rsidRPr="005249F3" w:rsidRDefault="00B37818" w:rsidP="0030249B">
      <w:pPr>
        <w:spacing w:before="400"/>
        <w:rPr>
          <w:color w:val="0070C0"/>
          <w:sz w:val="36"/>
          <w:szCs w:val="36"/>
        </w:rPr>
      </w:pPr>
      <w:r w:rsidRPr="005249F3">
        <w:rPr>
          <w:color w:val="0070C0"/>
          <w:sz w:val="36"/>
          <w:szCs w:val="36"/>
        </w:rPr>
        <w:t>Eligibility Criteria</w:t>
      </w:r>
    </w:p>
    <w:p w14:paraId="0E69D2C9" w14:textId="4930DE90" w:rsidR="00314D5C" w:rsidRDefault="00314D5C" w:rsidP="00314D5C">
      <w:pPr>
        <w:rPr>
          <w:szCs w:val="24"/>
        </w:rPr>
      </w:pPr>
      <w:r>
        <w:rPr>
          <w:szCs w:val="24"/>
        </w:rPr>
        <w:t>Principal Investigators must be a</w:t>
      </w:r>
      <w:r w:rsidRPr="0096284A">
        <w:rPr>
          <w:szCs w:val="24"/>
        </w:rPr>
        <w:t>n Australian or New Zealand citizen, or a permanent resident of Australia</w:t>
      </w:r>
      <w:r w:rsidR="00BC17D0">
        <w:rPr>
          <w:szCs w:val="24"/>
        </w:rPr>
        <w:t xml:space="preserve">, and be </w:t>
      </w:r>
      <w:r w:rsidRPr="0096284A">
        <w:rPr>
          <w:szCs w:val="24"/>
        </w:rPr>
        <w:t xml:space="preserve">based in Australia for at least 80% of the </w:t>
      </w:r>
      <w:r w:rsidR="00BC17D0">
        <w:rPr>
          <w:szCs w:val="24"/>
        </w:rPr>
        <w:t>f</w:t>
      </w:r>
      <w:r w:rsidRPr="0096284A">
        <w:rPr>
          <w:szCs w:val="24"/>
        </w:rPr>
        <w:t xml:space="preserve">unding </w:t>
      </w:r>
      <w:r w:rsidR="00BC17D0">
        <w:rPr>
          <w:szCs w:val="24"/>
        </w:rPr>
        <w:t>p</w:t>
      </w:r>
      <w:r w:rsidRPr="0096284A">
        <w:rPr>
          <w:szCs w:val="24"/>
        </w:rPr>
        <w:t>eriod</w:t>
      </w:r>
      <w:r w:rsidR="00BC17D0">
        <w:rPr>
          <w:szCs w:val="24"/>
        </w:rPr>
        <w:t>.</w:t>
      </w:r>
    </w:p>
    <w:p w14:paraId="226EB74B" w14:textId="3A7B3D31" w:rsidR="00B536C8" w:rsidRDefault="004F6F3C" w:rsidP="0096060A">
      <w:pPr>
        <w:rPr>
          <w:szCs w:val="24"/>
        </w:rPr>
      </w:pPr>
      <w:r>
        <w:rPr>
          <w:szCs w:val="24"/>
        </w:rPr>
        <w:t xml:space="preserve">Applications will be accepted from experienced or novice Principal Investigators. </w:t>
      </w:r>
      <w:r w:rsidR="00B37818">
        <w:rPr>
          <w:szCs w:val="24"/>
        </w:rPr>
        <w:t xml:space="preserve">Novice </w:t>
      </w:r>
      <w:r w:rsidR="00C93ED6">
        <w:rPr>
          <w:szCs w:val="24"/>
        </w:rPr>
        <w:t>Princi</w:t>
      </w:r>
      <w:r w:rsidR="0096284A">
        <w:rPr>
          <w:szCs w:val="24"/>
        </w:rPr>
        <w:t xml:space="preserve">pal </w:t>
      </w:r>
      <w:r w:rsidR="009506ED">
        <w:rPr>
          <w:szCs w:val="24"/>
        </w:rPr>
        <w:t xml:space="preserve">Investigators </w:t>
      </w:r>
      <w:r w:rsidR="00B37818">
        <w:rPr>
          <w:szCs w:val="24"/>
        </w:rPr>
        <w:t xml:space="preserve">will have limited research track record and no formal research training (e.g. PhD). Novice </w:t>
      </w:r>
      <w:r w:rsidR="0096284A">
        <w:rPr>
          <w:szCs w:val="24"/>
        </w:rPr>
        <w:t xml:space="preserve">Principal </w:t>
      </w:r>
      <w:r w:rsidR="009506ED">
        <w:rPr>
          <w:szCs w:val="24"/>
        </w:rPr>
        <w:t xml:space="preserve">Investigators </w:t>
      </w:r>
      <w:r w:rsidR="00B37818">
        <w:rPr>
          <w:szCs w:val="24"/>
        </w:rPr>
        <w:t xml:space="preserve">must include an experienced </w:t>
      </w:r>
      <w:r w:rsidR="009506ED">
        <w:rPr>
          <w:szCs w:val="24"/>
        </w:rPr>
        <w:t>I</w:t>
      </w:r>
      <w:r w:rsidR="00B37818">
        <w:rPr>
          <w:szCs w:val="24"/>
        </w:rPr>
        <w:t>nvestigator to supervise the project and to provide a letter of support for the planned research.</w:t>
      </w:r>
    </w:p>
    <w:p w14:paraId="2E7A351E" w14:textId="3233FA93" w:rsidR="00550738" w:rsidRDefault="00B536C8" w:rsidP="00034636">
      <w:pPr>
        <w:rPr>
          <w:szCs w:val="24"/>
        </w:rPr>
      </w:pPr>
      <w:r w:rsidRPr="00B536C8">
        <w:rPr>
          <w:szCs w:val="24"/>
        </w:rPr>
        <w:t>Investigators with current funding from the Research Grant Scheme are not eligible to apply as a</w:t>
      </w:r>
      <w:r w:rsidR="007C1C25">
        <w:rPr>
          <w:szCs w:val="24"/>
        </w:rPr>
        <w:t xml:space="preserve">n experienced </w:t>
      </w:r>
      <w:r w:rsidRPr="00B536C8">
        <w:rPr>
          <w:szCs w:val="24"/>
        </w:rPr>
        <w:t xml:space="preserve">or </w:t>
      </w:r>
      <w:r w:rsidR="007C1C25">
        <w:rPr>
          <w:szCs w:val="24"/>
        </w:rPr>
        <w:t>n</w:t>
      </w:r>
      <w:r w:rsidRPr="00B536C8">
        <w:rPr>
          <w:szCs w:val="24"/>
        </w:rPr>
        <w:t xml:space="preserve">ovice </w:t>
      </w:r>
      <w:r w:rsidR="0096284A">
        <w:rPr>
          <w:szCs w:val="24"/>
        </w:rPr>
        <w:t xml:space="preserve">Principal </w:t>
      </w:r>
      <w:r w:rsidRPr="00B536C8">
        <w:rPr>
          <w:szCs w:val="24"/>
        </w:rPr>
        <w:t>Investigator (i.e. those who have not submitted a Final Progress Report).</w:t>
      </w:r>
      <w:r w:rsidR="00DC61FC">
        <w:rPr>
          <w:szCs w:val="24"/>
        </w:rPr>
        <w:t xml:space="preserve"> </w:t>
      </w:r>
      <w:r w:rsidR="00550738">
        <w:rPr>
          <w:szCs w:val="24"/>
        </w:rPr>
        <w:t xml:space="preserve">Committee Members of the ARC may </w:t>
      </w:r>
      <w:r w:rsidR="00DC61FC">
        <w:rPr>
          <w:szCs w:val="24"/>
        </w:rPr>
        <w:t>apply but</w:t>
      </w:r>
      <w:r w:rsidR="00550738">
        <w:rPr>
          <w:szCs w:val="24"/>
        </w:rPr>
        <w:t xml:space="preserve"> </w:t>
      </w:r>
      <w:r w:rsidR="00034636">
        <w:rPr>
          <w:szCs w:val="24"/>
        </w:rPr>
        <w:t>may</w:t>
      </w:r>
      <w:r w:rsidR="00550738">
        <w:rPr>
          <w:szCs w:val="24"/>
        </w:rPr>
        <w:t xml:space="preserve"> not be involved </w:t>
      </w:r>
      <w:r w:rsidR="00550738">
        <w:rPr>
          <w:szCs w:val="24"/>
        </w:rPr>
        <w:lastRenderedPageBreak/>
        <w:t>in the assessment of grants</w:t>
      </w:r>
      <w:r w:rsidR="00034636">
        <w:rPr>
          <w:szCs w:val="24"/>
        </w:rPr>
        <w:t xml:space="preserve"> or decisions of funding</w:t>
      </w:r>
      <w:r w:rsidR="00550738">
        <w:rPr>
          <w:szCs w:val="24"/>
        </w:rPr>
        <w:t xml:space="preserve">. </w:t>
      </w:r>
    </w:p>
    <w:p w14:paraId="21547B65" w14:textId="73B274E4" w:rsidR="00BB4A90" w:rsidRPr="004B4944" w:rsidRDefault="00BB4A90" w:rsidP="00BB4A90">
      <w:pPr>
        <w:rPr>
          <w:color w:val="0070C0"/>
          <w:sz w:val="36"/>
          <w:szCs w:val="36"/>
        </w:rPr>
      </w:pPr>
      <w:r w:rsidRPr="004B4944">
        <w:rPr>
          <w:color w:val="0070C0"/>
          <w:sz w:val="36"/>
          <w:szCs w:val="36"/>
        </w:rPr>
        <w:t xml:space="preserve">Length of the </w:t>
      </w:r>
      <w:r w:rsidR="00C3242C">
        <w:rPr>
          <w:color w:val="0070C0"/>
          <w:sz w:val="36"/>
          <w:szCs w:val="36"/>
        </w:rPr>
        <w:t>G</w:t>
      </w:r>
      <w:r w:rsidRPr="004B4944">
        <w:rPr>
          <w:color w:val="0070C0"/>
          <w:sz w:val="36"/>
          <w:szCs w:val="36"/>
        </w:rPr>
        <w:t>rant</w:t>
      </w:r>
    </w:p>
    <w:p w14:paraId="410E8DB6" w14:textId="28DA13F4" w:rsidR="00BB4A90" w:rsidRDefault="00BB4A90" w:rsidP="00BB4A90">
      <w:pPr>
        <w:rPr>
          <w:szCs w:val="24"/>
        </w:rPr>
      </w:pPr>
      <w:r>
        <w:rPr>
          <w:szCs w:val="24"/>
        </w:rPr>
        <w:t>The grants are tenable for</w:t>
      </w:r>
      <w:r w:rsidR="003B6904">
        <w:rPr>
          <w:szCs w:val="24"/>
        </w:rPr>
        <w:t xml:space="preserve"> up to</w:t>
      </w:r>
      <w:r>
        <w:rPr>
          <w:szCs w:val="24"/>
        </w:rPr>
        <w:t xml:space="preserve"> </w:t>
      </w:r>
      <w:r w:rsidR="003B6904">
        <w:rPr>
          <w:szCs w:val="24"/>
        </w:rPr>
        <w:t xml:space="preserve">24-months </w:t>
      </w:r>
      <w:r>
        <w:rPr>
          <w:szCs w:val="24"/>
        </w:rPr>
        <w:t xml:space="preserve">year. Awardees may request a time extension in writing, but no additional funding will be provided. </w:t>
      </w:r>
    </w:p>
    <w:p w14:paraId="665F458C" w14:textId="77777777" w:rsidR="004B4944" w:rsidRPr="004B4944" w:rsidRDefault="00EA3702" w:rsidP="00EA3702">
      <w:pPr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A</w:t>
      </w:r>
      <w:r w:rsidR="004B4944" w:rsidRPr="004B4944">
        <w:rPr>
          <w:color w:val="0070C0"/>
          <w:sz w:val="36"/>
          <w:szCs w:val="36"/>
        </w:rPr>
        <w:t xml:space="preserve">pplications </w:t>
      </w:r>
    </w:p>
    <w:p w14:paraId="6FFC022B" w14:textId="40BA232B" w:rsidR="0019362F" w:rsidRDefault="0019362F" w:rsidP="0019362F">
      <w:pPr>
        <w:rPr>
          <w:szCs w:val="24"/>
        </w:rPr>
      </w:pPr>
      <w:r>
        <w:rPr>
          <w:szCs w:val="24"/>
        </w:rPr>
        <w:t xml:space="preserve">Application forms may be obtained from the ARC website </w:t>
      </w:r>
      <w:r w:rsidR="00E92C9A">
        <w:rPr>
          <w:szCs w:val="24"/>
        </w:rPr>
        <w:t>(</w:t>
      </w:r>
      <w:hyperlink r:id="rId9" w:history="1">
        <w:r w:rsidR="00FD62DD" w:rsidRPr="005E3ABC">
          <w:rPr>
            <w:rStyle w:val="Hyperlink"/>
            <w:szCs w:val="24"/>
          </w:rPr>
          <w:t>https://resus.org.au</w:t>
        </w:r>
      </w:hyperlink>
      <w:r w:rsidR="00E92C9A">
        <w:rPr>
          <w:szCs w:val="24"/>
        </w:rPr>
        <w:t>)</w:t>
      </w:r>
      <w:r>
        <w:rPr>
          <w:szCs w:val="24"/>
        </w:rPr>
        <w:t xml:space="preserve">. Handwritten and incomplete applications will not be accepted. </w:t>
      </w:r>
    </w:p>
    <w:p w14:paraId="31EC248E" w14:textId="4C4191CD" w:rsidR="00F73AF5" w:rsidRDefault="004B4944" w:rsidP="001D3B4A">
      <w:pPr>
        <w:rPr>
          <w:szCs w:val="24"/>
        </w:rPr>
      </w:pPr>
      <w:r w:rsidRPr="00E32EFE">
        <w:rPr>
          <w:szCs w:val="24"/>
        </w:rPr>
        <w:t>Applicants may only apply for one grant as a</w:t>
      </w:r>
      <w:r w:rsidR="004B2907">
        <w:rPr>
          <w:szCs w:val="24"/>
        </w:rPr>
        <w:t>n</w:t>
      </w:r>
      <w:r w:rsidRPr="00E32EFE">
        <w:rPr>
          <w:szCs w:val="24"/>
        </w:rPr>
        <w:t xml:space="preserve"> </w:t>
      </w:r>
      <w:r w:rsidR="004B2907">
        <w:rPr>
          <w:szCs w:val="24"/>
        </w:rPr>
        <w:t>experienced</w:t>
      </w:r>
      <w:r w:rsidR="004B2907" w:rsidRPr="00E32EFE">
        <w:rPr>
          <w:szCs w:val="24"/>
        </w:rPr>
        <w:t xml:space="preserve"> </w:t>
      </w:r>
      <w:r w:rsidR="0080013A" w:rsidRPr="00E32EFE">
        <w:rPr>
          <w:szCs w:val="24"/>
        </w:rPr>
        <w:t xml:space="preserve">or </w:t>
      </w:r>
      <w:r w:rsidR="004B2907">
        <w:rPr>
          <w:szCs w:val="24"/>
        </w:rPr>
        <w:t>n</w:t>
      </w:r>
      <w:r w:rsidR="0080013A" w:rsidRPr="00E32EFE">
        <w:rPr>
          <w:szCs w:val="24"/>
        </w:rPr>
        <w:t xml:space="preserve">ovice </w:t>
      </w:r>
      <w:r w:rsidR="00F5281E">
        <w:rPr>
          <w:szCs w:val="24"/>
        </w:rPr>
        <w:t xml:space="preserve">Principal </w:t>
      </w:r>
      <w:r w:rsidRPr="00E32EFE">
        <w:rPr>
          <w:szCs w:val="24"/>
        </w:rPr>
        <w:t>Investigator.</w:t>
      </w:r>
      <w:r w:rsidR="00F5281E">
        <w:rPr>
          <w:szCs w:val="24"/>
        </w:rPr>
        <w:t xml:space="preserve"> </w:t>
      </w:r>
      <w:r w:rsidR="001D3B4A" w:rsidRPr="001D3B4A">
        <w:rPr>
          <w:szCs w:val="24"/>
        </w:rPr>
        <w:t xml:space="preserve">If an </w:t>
      </w:r>
      <w:r w:rsidR="001D3B4A">
        <w:rPr>
          <w:szCs w:val="24"/>
        </w:rPr>
        <w:t>applicant</w:t>
      </w:r>
      <w:r w:rsidR="001D3B4A" w:rsidRPr="001D3B4A">
        <w:rPr>
          <w:szCs w:val="24"/>
        </w:rPr>
        <w:t xml:space="preserve"> submits </w:t>
      </w:r>
      <w:r w:rsidR="001D3B4A">
        <w:rPr>
          <w:szCs w:val="24"/>
        </w:rPr>
        <w:t>multiple applications as a Principal Investigator</w:t>
      </w:r>
      <w:r w:rsidR="001D3B4A" w:rsidRPr="001D3B4A">
        <w:rPr>
          <w:szCs w:val="24"/>
        </w:rPr>
        <w:t>, all</w:t>
      </w:r>
      <w:r w:rsidR="001D3B4A">
        <w:rPr>
          <w:szCs w:val="24"/>
        </w:rPr>
        <w:t xml:space="preserve"> </w:t>
      </w:r>
      <w:r w:rsidR="001D3B4A" w:rsidRPr="001D3B4A">
        <w:rPr>
          <w:szCs w:val="24"/>
        </w:rPr>
        <w:t xml:space="preserve">applications </w:t>
      </w:r>
      <w:r w:rsidR="0099663B">
        <w:rPr>
          <w:szCs w:val="24"/>
        </w:rPr>
        <w:t>will be</w:t>
      </w:r>
      <w:r w:rsidR="001D3B4A">
        <w:rPr>
          <w:szCs w:val="24"/>
        </w:rPr>
        <w:t xml:space="preserve"> </w:t>
      </w:r>
      <w:r w:rsidR="001D3B4A" w:rsidRPr="001D3B4A">
        <w:rPr>
          <w:szCs w:val="24"/>
        </w:rPr>
        <w:t xml:space="preserve">excluded from </w:t>
      </w:r>
      <w:r w:rsidR="0099663B">
        <w:rPr>
          <w:szCs w:val="24"/>
        </w:rPr>
        <w:t xml:space="preserve">further </w:t>
      </w:r>
      <w:r w:rsidR="001D3B4A" w:rsidRPr="001D3B4A">
        <w:rPr>
          <w:szCs w:val="24"/>
        </w:rPr>
        <w:t>consideration</w:t>
      </w:r>
      <w:r w:rsidR="001D3B4A">
        <w:rPr>
          <w:szCs w:val="24"/>
        </w:rPr>
        <w:t xml:space="preserve">. </w:t>
      </w:r>
      <w:r w:rsidRPr="00E32EFE">
        <w:rPr>
          <w:szCs w:val="24"/>
        </w:rPr>
        <w:t>There is no limit to the number of applications on which an individual can appea</w:t>
      </w:r>
      <w:r w:rsidR="00EA3702" w:rsidRPr="00E32EFE">
        <w:rPr>
          <w:szCs w:val="24"/>
        </w:rPr>
        <w:t>r as an Associate Investigator.</w:t>
      </w:r>
    </w:p>
    <w:p w14:paraId="4B433C05" w14:textId="2AA0F94D" w:rsidR="003134DB" w:rsidRDefault="00EA3702" w:rsidP="00D17732">
      <w:pPr>
        <w:rPr>
          <w:color w:val="0070C0"/>
          <w:sz w:val="36"/>
          <w:szCs w:val="36"/>
        </w:rPr>
      </w:pPr>
      <w:r>
        <w:rPr>
          <w:szCs w:val="24"/>
        </w:rPr>
        <w:t xml:space="preserve">Application forms </w:t>
      </w:r>
      <w:r w:rsidR="00C224EC">
        <w:rPr>
          <w:szCs w:val="24"/>
        </w:rPr>
        <w:t>and letter of support</w:t>
      </w:r>
      <w:r>
        <w:rPr>
          <w:szCs w:val="24"/>
        </w:rPr>
        <w:t xml:space="preserve"> </w:t>
      </w:r>
      <w:r w:rsidR="00C224EC">
        <w:rPr>
          <w:szCs w:val="24"/>
        </w:rPr>
        <w:t>(</w:t>
      </w:r>
      <w:r w:rsidR="004B2907">
        <w:rPr>
          <w:szCs w:val="24"/>
        </w:rPr>
        <w:t xml:space="preserve">novice </w:t>
      </w:r>
      <w:r w:rsidR="00C224EC">
        <w:rPr>
          <w:szCs w:val="24"/>
        </w:rPr>
        <w:t xml:space="preserve">Investigators) must </w:t>
      </w:r>
      <w:r>
        <w:rPr>
          <w:szCs w:val="24"/>
        </w:rPr>
        <w:t xml:space="preserve">be </w:t>
      </w:r>
      <w:r w:rsidR="0019362F">
        <w:rPr>
          <w:szCs w:val="24"/>
        </w:rPr>
        <w:t xml:space="preserve">emailed </w:t>
      </w:r>
      <w:r>
        <w:rPr>
          <w:szCs w:val="24"/>
        </w:rPr>
        <w:t>as PDF file</w:t>
      </w:r>
      <w:r w:rsidR="00C224EC">
        <w:rPr>
          <w:szCs w:val="24"/>
        </w:rPr>
        <w:t>s</w:t>
      </w:r>
      <w:r>
        <w:rPr>
          <w:szCs w:val="24"/>
        </w:rPr>
        <w:t xml:space="preserve"> and named using the f</w:t>
      </w:r>
      <w:r w:rsidR="00D17732">
        <w:rPr>
          <w:szCs w:val="24"/>
        </w:rPr>
        <w:t>ollowing convention: SURNAME_</w:t>
      </w:r>
      <w:r w:rsidR="007B0BFB">
        <w:rPr>
          <w:szCs w:val="24"/>
        </w:rPr>
        <w:t xml:space="preserve">2025 </w:t>
      </w:r>
      <w:r>
        <w:rPr>
          <w:szCs w:val="24"/>
        </w:rPr>
        <w:t xml:space="preserve">(e.g. </w:t>
      </w:r>
      <w:r w:rsidR="00D17732">
        <w:rPr>
          <w:szCs w:val="24"/>
        </w:rPr>
        <w:t>JONES_</w:t>
      </w:r>
      <w:r w:rsidR="007B0BFB">
        <w:rPr>
          <w:szCs w:val="24"/>
        </w:rPr>
        <w:t>2025</w:t>
      </w:r>
      <w:r>
        <w:rPr>
          <w:szCs w:val="24"/>
        </w:rPr>
        <w:t>).</w:t>
      </w:r>
      <w:r w:rsidR="0019362F">
        <w:rPr>
          <w:szCs w:val="24"/>
        </w:rPr>
        <w:t xml:space="preserve"> </w:t>
      </w:r>
    </w:p>
    <w:p w14:paraId="6D625CE3" w14:textId="77777777" w:rsidR="004B4944" w:rsidRPr="004B4944" w:rsidRDefault="004B4944" w:rsidP="004B4944">
      <w:pPr>
        <w:rPr>
          <w:color w:val="0070C0"/>
          <w:sz w:val="36"/>
          <w:szCs w:val="36"/>
        </w:rPr>
      </w:pPr>
      <w:r w:rsidRPr="004B4944">
        <w:rPr>
          <w:color w:val="0070C0"/>
          <w:sz w:val="36"/>
          <w:szCs w:val="36"/>
        </w:rPr>
        <w:t>Award Funding</w:t>
      </w:r>
    </w:p>
    <w:p w14:paraId="71925ED5" w14:textId="1BA5E7BA" w:rsidR="004B4944" w:rsidRDefault="004B4944" w:rsidP="00920B4F">
      <w:pPr>
        <w:rPr>
          <w:szCs w:val="24"/>
        </w:rPr>
      </w:pPr>
      <w:r>
        <w:rPr>
          <w:szCs w:val="24"/>
        </w:rPr>
        <w:t>The Research Grant Sc</w:t>
      </w:r>
      <w:r w:rsidR="00BB4A90">
        <w:rPr>
          <w:szCs w:val="24"/>
        </w:rPr>
        <w:t xml:space="preserve">heme will provide up to </w:t>
      </w:r>
      <w:r w:rsidR="00BB4A90" w:rsidRPr="00E32EFE">
        <w:rPr>
          <w:szCs w:val="24"/>
        </w:rPr>
        <w:t>$</w:t>
      </w:r>
      <w:r w:rsidR="007B0BFB" w:rsidRPr="00E32EFE">
        <w:rPr>
          <w:szCs w:val="24"/>
        </w:rPr>
        <w:t>15</w:t>
      </w:r>
      <w:r w:rsidR="00BB4A90" w:rsidRPr="00E32EFE">
        <w:rPr>
          <w:szCs w:val="24"/>
        </w:rPr>
        <w:t>,000.</w:t>
      </w:r>
    </w:p>
    <w:p w14:paraId="174D00A6" w14:textId="77777777" w:rsidR="00E24FEC" w:rsidRDefault="00E24FEC">
      <w:pPr>
        <w:rPr>
          <w:szCs w:val="24"/>
        </w:rPr>
      </w:pPr>
      <w:r>
        <w:rPr>
          <w:szCs w:val="24"/>
        </w:rPr>
        <w:t xml:space="preserve">Funds may be used for </w:t>
      </w:r>
      <w:r w:rsidR="00772B08">
        <w:rPr>
          <w:szCs w:val="24"/>
        </w:rPr>
        <w:t xml:space="preserve">costs related to the research project, including </w:t>
      </w:r>
      <w:r w:rsidR="00F73AF5">
        <w:rPr>
          <w:szCs w:val="24"/>
        </w:rPr>
        <w:t xml:space="preserve">salary </w:t>
      </w:r>
      <w:r w:rsidR="00812ED7">
        <w:rPr>
          <w:szCs w:val="24"/>
        </w:rPr>
        <w:t>and</w:t>
      </w:r>
      <w:r w:rsidR="00920B4F">
        <w:rPr>
          <w:szCs w:val="24"/>
        </w:rPr>
        <w:t xml:space="preserve"> </w:t>
      </w:r>
      <w:r w:rsidR="00040884">
        <w:rPr>
          <w:szCs w:val="24"/>
        </w:rPr>
        <w:t xml:space="preserve">small items of equipment necessary to complete the </w:t>
      </w:r>
      <w:r w:rsidR="00812ED7">
        <w:rPr>
          <w:szCs w:val="24"/>
        </w:rPr>
        <w:t>research</w:t>
      </w:r>
      <w:r w:rsidR="00BB4A90">
        <w:rPr>
          <w:szCs w:val="24"/>
        </w:rPr>
        <w:t>. Conf</w:t>
      </w:r>
      <w:r w:rsidR="00920B4F">
        <w:rPr>
          <w:szCs w:val="24"/>
        </w:rPr>
        <w:t>erence costs to present completed research</w:t>
      </w:r>
      <w:r w:rsidR="00BB4A90">
        <w:rPr>
          <w:szCs w:val="24"/>
        </w:rPr>
        <w:t xml:space="preserve"> may be included in the budget</w:t>
      </w:r>
      <w:r w:rsidR="00882A81">
        <w:rPr>
          <w:szCs w:val="24"/>
        </w:rPr>
        <w:t>,</w:t>
      </w:r>
      <w:r w:rsidR="00BB4A90">
        <w:rPr>
          <w:szCs w:val="24"/>
        </w:rPr>
        <w:t xml:space="preserve"> but only </w:t>
      </w:r>
      <w:r w:rsidR="00DA7C38">
        <w:rPr>
          <w:szCs w:val="24"/>
        </w:rPr>
        <w:t xml:space="preserve">up to </w:t>
      </w:r>
      <w:r w:rsidR="00BB4A90">
        <w:rPr>
          <w:szCs w:val="24"/>
        </w:rPr>
        <w:t>10% of the</w:t>
      </w:r>
      <w:r w:rsidR="00812ED7">
        <w:rPr>
          <w:szCs w:val="24"/>
        </w:rPr>
        <w:t xml:space="preserve"> total</w:t>
      </w:r>
      <w:r w:rsidR="00BB4A90">
        <w:rPr>
          <w:szCs w:val="24"/>
        </w:rPr>
        <w:t xml:space="preserve"> </w:t>
      </w:r>
      <w:r w:rsidR="00882A81">
        <w:rPr>
          <w:szCs w:val="24"/>
        </w:rPr>
        <w:t xml:space="preserve">research costs </w:t>
      </w:r>
      <w:r w:rsidR="00BB4A90">
        <w:rPr>
          <w:szCs w:val="24"/>
        </w:rPr>
        <w:t>may be requested</w:t>
      </w:r>
      <w:r w:rsidR="00772B08">
        <w:rPr>
          <w:szCs w:val="24"/>
        </w:rPr>
        <w:t xml:space="preserve">. Cost must be detailed and justified. </w:t>
      </w:r>
      <w:r w:rsidR="00040884">
        <w:rPr>
          <w:szCs w:val="24"/>
        </w:rPr>
        <w:t xml:space="preserve"> </w:t>
      </w:r>
      <w:r>
        <w:rPr>
          <w:szCs w:val="24"/>
        </w:rPr>
        <w:t xml:space="preserve"> </w:t>
      </w:r>
    </w:p>
    <w:p w14:paraId="001EB01C" w14:textId="77777777" w:rsidR="00E24FEC" w:rsidRDefault="004B4944" w:rsidP="00E24FEC">
      <w:pPr>
        <w:spacing w:after="0"/>
        <w:rPr>
          <w:szCs w:val="24"/>
        </w:rPr>
      </w:pPr>
      <w:r>
        <w:rPr>
          <w:szCs w:val="24"/>
        </w:rPr>
        <w:t xml:space="preserve">Funds may not be used </w:t>
      </w:r>
      <w:r w:rsidR="00E24FEC">
        <w:rPr>
          <w:szCs w:val="24"/>
        </w:rPr>
        <w:t>for:</w:t>
      </w:r>
    </w:p>
    <w:p w14:paraId="3456C072" w14:textId="7A7259EE" w:rsidR="00E24FEC" w:rsidRDefault="004B2907" w:rsidP="00FF2031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S</w:t>
      </w:r>
      <w:r w:rsidR="00274E52">
        <w:rPr>
          <w:szCs w:val="24"/>
        </w:rPr>
        <w:t xml:space="preserve">tipends </w:t>
      </w:r>
      <w:r w:rsidR="00E24FEC" w:rsidRPr="00E24FEC">
        <w:rPr>
          <w:szCs w:val="24"/>
        </w:rPr>
        <w:t xml:space="preserve">for </w:t>
      </w:r>
      <w:r w:rsidR="004B4944" w:rsidRPr="00E24FEC">
        <w:rPr>
          <w:szCs w:val="24"/>
        </w:rPr>
        <w:t xml:space="preserve">Higher Degree </w:t>
      </w:r>
      <w:r w:rsidR="00E24FEC" w:rsidRPr="00E24FEC">
        <w:rPr>
          <w:szCs w:val="24"/>
        </w:rPr>
        <w:t xml:space="preserve">Research </w:t>
      </w:r>
      <w:r w:rsidR="00FF2031">
        <w:rPr>
          <w:szCs w:val="24"/>
        </w:rPr>
        <w:t>s</w:t>
      </w:r>
      <w:r w:rsidR="004B4944" w:rsidRPr="00E24FEC">
        <w:rPr>
          <w:szCs w:val="24"/>
        </w:rPr>
        <w:t>tudent</w:t>
      </w:r>
      <w:r w:rsidR="00F73AF5">
        <w:rPr>
          <w:szCs w:val="24"/>
        </w:rPr>
        <w:t>s (e.g. Master or PhD)</w:t>
      </w:r>
    </w:p>
    <w:p w14:paraId="7F219793" w14:textId="1F30DD9C" w:rsidR="00F73AF5" w:rsidRDefault="004B2907" w:rsidP="00E24FEC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E</w:t>
      </w:r>
      <w:r w:rsidR="00F73AF5">
        <w:rPr>
          <w:szCs w:val="24"/>
        </w:rPr>
        <w:t>ntertainment or publication costs</w:t>
      </w:r>
    </w:p>
    <w:p w14:paraId="46C0D98A" w14:textId="3BAB3B51" w:rsidR="00F73AF5" w:rsidRDefault="004B2907" w:rsidP="00F73AF5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C</w:t>
      </w:r>
      <w:r w:rsidR="00F73AF5">
        <w:rPr>
          <w:szCs w:val="24"/>
        </w:rPr>
        <w:t>omputers or software</w:t>
      </w:r>
    </w:p>
    <w:p w14:paraId="6F6655C7" w14:textId="4C57F716" w:rsidR="004B4944" w:rsidRPr="00F73AF5" w:rsidRDefault="00026EA6" w:rsidP="00F73AF5">
      <w:pPr>
        <w:rPr>
          <w:szCs w:val="24"/>
        </w:rPr>
      </w:pPr>
      <w:r w:rsidRPr="00F73AF5">
        <w:rPr>
          <w:color w:val="0070C0"/>
          <w:sz w:val="36"/>
          <w:szCs w:val="36"/>
        </w:rPr>
        <w:t xml:space="preserve">Ethical </w:t>
      </w:r>
      <w:r w:rsidR="00C3242C">
        <w:rPr>
          <w:color w:val="0070C0"/>
          <w:sz w:val="36"/>
          <w:szCs w:val="36"/>
        </w:rPr>
        <w:t>C</w:t>
      </w:r>
      <w:r w:rsidRPr="00F73AF5">
        <w:rPr>
          <w:color w:val="0070C0"/>
          <w:sz w:val="36"/>
          <w:szCs w:val="36"/>
        </w:rPr>
        <w:t>learance</w:t>
      </w:r>
    </w:p>
    <w:p w14:paraId="43F59A8B" w14:textId="44279435" w:rsidR="004B4944" w:rsidRDefault="00F73AF5" w:rsidP="00D17732">
      <w:pPr>
        <w:rPr>
          <w:szCs w:val="24"/>
        </w:rPr>
      </w:pPr>
      <w:r>
        <w:rPr>
          <w:szCs w:val="24"/>
        </w:rPr>
        <w:t xml:space="preserve">Ethics approval certificates, if necessary </w:t>
      </w:r>
      <w:r w:rsidR="004B4944">
        <w:rPr>
          <w:szCs w:val="24"/>
        </w:rPr>
        <w:t>to complete the project as outlined</w:t>
      </w:r>
      <w:r>
        <w:rPr>
          <w:szCs w:val="24"/>
        </w:rPr>
        <w:t>,</w:t>
      </w:r>
      <w:r w:rsidR="004B4944">
        <w:rPr>
          <w:szCs w:val="24"/>
        </w:rPr>
        <w:t xml:space="preserve"> must be received by the ARC </w:t>
      </w:r>
      <w:r w:rsidR="009512F5">
        <w:rPr>
          <w:szCs w:val="24"/>
        </w:rPr>
        <w:t>Victoria</w:t>
      </w:r>
      <w:r w:rsidR="00DC55CE">
        <w:rPr>
          <w:szCs w:val="24"/>
        </w:rPr>
        <w:t>n</w:t>
      </w:r>
      <w:r w:rsidR="009512F5">
        <w:rPr>
          <w:szCs w:val="24"/>
        </w:rPr>
        <w:t xml:space="preserve"> Branch </w:t>
      </w:r>
      <w:r w:rsidR="004B4944">
        <w:rPr>
          <w:szCs w:val="24"/>
        </w:rPr>
        <w:t xml:space="preserve">before funding will be released. </w:t>
      </w:r>
    </w:p>
    <w:p w14:paraId="4036AC06" w14:textId="6C1E5032" w:rsidR="004B4944" w:rsidRDefault="004B4944" w:rsidP="0080013A">
      <w:pPr>
        <w:rPr>
          <w:szCs w:val="24"/>
        </w:rPr>
      </w:pPr>
      <w:r>
        <w:rPr>
          <w:szCs w:val="24"/>
        </w:rPr>
        <w:t xml:space="preserve">If </w:t>
      </w:r>
      <w:r w:rsidRPr="00DC61FC">
        <w:rPr>
          <w:szCs w:val="24"/>
        </w:rPr>
        <w:t xml:space="preserve">clearances are not received before </w:t>
      </w:r>
      <w:r w:rsidR="0088119E">
        <w:rPr>
          <w:szCs w:val="24"/>
        </w:rPr>
        <w:t xml:space="preserve">30 </w:t>
      </w:r>
      <w:r w:rsidR="00DC61FC">
        <w:rPr>
          <w:szCs w:val="24"/>
        </w:rPr>
        <w:t>June</w:t>
      </w:r>
      <w:r w:rsidRPr="00DC61FC">
        <w:rPr>
          <w:szCs w:val="24"/>
        </w:rPr>
        <w:t xml:space="preserve"> </w:t>
      </w:r>
      <w:r w:rsidR="007B1F70" w:rsidRPr="00DC61FC">
        <w:rPr>
          <w:szCs w:val="24"/>
        </w:rPr>
        <w:t>202</w:t>
      </w:r>
      <w:r w:rsidR="00DC61FC">
        <w:rPr>
          <w:szCs w:val="24"/>
        </w:rPr>
        <w:t>6</w:t>
      </w:r>
      <w:r w:rsidR="007B1F70" w:rsidRPr="00DC61FC">
        <w:rPr>
          <w:szCs w:val="24"/>
        </w:rPr>
        <w:t xml:space="preserve"> </w:t>
      </w:r>
      <w:r w:rsidRPr="00DC61FC">
        <w:rPr>
          <w:szCs w:val="24"/>
        </w:rPr>
        <w:t>funding</w:t>
      </w:r>
      <w:r>
        <w:rPr>
          <w:szCs w:val="24"/>
        </w:rPr>
        <w:t xml:space="preserve"> may be withdrawn. </w:t>
      </w:r>
    </w:p>
    <w:p w14:paraId="0C7240BE" w14:textId="77777777" w:rsidR="00D17732" w:rsidRDefault="00D17732" w:rsidP="0080013A">
      <w:pPr>
        <w:rPr>
          <w:szCs w:val="24"/>
        </w:rPr>
      </w:pPr>
    </w:p>
    <w:p w14:paraId="162A7558" w14:textId="36F28E32" w:rsidR="00F73AF5" w:rsidRDefault="00F73AF5" w:rsidP="00F73AF5">
      <w:pPr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 xml:space="preserve">Progress and </w:t>
      </w:r>
      <w:r w:rsidR="00CA7ED1">
        <w:rPr>
          <w:color w:val="0070C0"/>
          <w:sz w:val="36"/>
          <w:szCs w:val="36"/>
        </w:rPr>
        <w:t>F</w:t>
      </w:r>
      <w:r>
        <w:rPr>
          <w:color w:val="0070C0"/>
          <w:sz w:val="36"/>
          <w:szCs w:val="36"/>
        </w:rPr>
        <w:t xml:space="preserve">inancial </w:t>
      </w:r>
      <w:r w:rsidR="00CA7ED1">
        <w:rPr>
          <w:color w:val="0070C0"/>
          <w:sz w:val="36"/>
          <w:szCs w:val="36"/>
        </w:rPr>
        <w:t>R</w:t>
      </w:r>
      <w:r>
        <w:rPr>
          <w:color w:val="0070C0"/>
          <w:sz w:val="36"/>
          <w:szCs w:val="36"/>
        </w:rPr>
        <w:t>eporting</w:t>
      </w:r>
    </w:p>
    <w:p w14:paraId="75E46CE9" w14:textId="7FE09C9D" w:rsidR="00E82C9A" w:rsidRDefault="00E92C9A" w:rsidP="00D17732">
      <w:r>
        <w:t>Principal Investigators must provide p</w:t>
      </w:r>
      <w:r w:rsidR="00F73AF5">
        <w:t xml:space="preserve">rogress reports </w:t>
      </w:r>
      <w:r>
        <w:t>t</w:t>
      </w:r>
      <w:r w:rsidR="00F9273B">
        <w:t>o the ARC</w:t>
      </w:r>
      <w:r w:rsidR="00005C2B">
        <w:t xml:space="preserve"> Victoria</w:t>
      </w:r>
      <w:r w:rsidR="00DC55CE">
        <w:t>n</w:t>
      </w:r>
      <w:r w:rsidR="00005C2B">
        <w:t xml:space="preserve"> Branch</w:t>
      </w:r>
      <w:r w:rsidR="00F9273B">
        <w:t xml:space="preserve"> at completion of the project and annually for projects with approved extensions. Progress reports will include a financial acquittal of funds, progress to date, and expected timeline. </w:t>
      </w:r>
      <w:r w:rsidR="00252890" w:rsidRPr="00252890">
        <w:t>Further guidance is provided in Research Grant Terms and Conditions.</w:t>
      </w:r>
    </w:p>
    <w:p w14:paraId="5C72521A" w14:textId="77777777" w:rsidR="00E82C9A" w:rsidRDefault="00E82C9A" w:rsidP="00F9273B">
      <w:pPr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Acknowledgement</w:t>
      </w:r>
    </w:p>
    <w:p w14:paraId="28C4889D" w14:textId="05F9A387" w:rsidR="00E82C9A" w:rsidRDefault="00E82C9A" w:rsidP="00D17732">
      <w:r>
        <w:t xml:space="preserve">The </w:t>
      </w:r>
      <w:r w:rsidR="00CA7ED1">
        <w:t>‘</w:t>
      </w:r>
      <w:r>
        <w:t>A</w:t>
      </w:r>
      <w:r w:rsidR="00274E52">
        <w:t xml:space="preserve">ustralian </w:t>
      </w:r>
      <w:r w:rsidR="00CA7ED1">
        <w:t xml:space="preserve">Resuscitation </w:t>
      </w:r>
      <w:r w:rsidR="00274E52">
        <w:t>Council</w:t>
      </w:r>
      <w:r w:rsidR="00E9799A">
        <w:t xml:space="preserve"> (Victoria</w:t>
      </w:r>
      <w:r w:rsidR="00DC55CE">
        <w:t>n</w:t>
      </w:r>
      <w:r w:rsidR="00E9799A">
        <w:t xml:space="preserve"> Branch)</w:t>
      </w:r>
      <w:r w:rsidR="00CA7ED1">
        <w:t>’</w:t>
      </w:r>
      <w:r w:rsidR="00274E52">
        <w:t xml:space="preserve"> </w:t>
      </w:r>
      <w:r>
        <w:t>must be acknowledge</w:t>
      </w:r>
      <w:r w:rsidR="00782CF1">
        <w:t>d</w:t>
      </w:r>
      <w:r>
        <w:t xml:space="preserve"> in any presentations and publications arising from the research undertaken as a result of this funding. </w:t>
      </w:r>
      <w:r w:rsidR="00BA7D7B">
        <w:t>Further guidance is provided in Research Grant Terms and Conditions.</w:t>
      </w:r>
    </w:p>
    <w:p w14:paraId="16B9A85C" w14:textId="69C3970B" w:rsidR="00E82C9A" w:rsidRDefault="00EA3702" w:rsidP="00E82C9A">
      <w:pPr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 xml:space="preserve">Application </w:t>
      </w:r>
      <w:r w:rsidR="00CA7ED1">
        <w:rPr>
          <w:color w:val="0070C0"/>
          <w:sz w:val="36"/>
          <w:szCs w:val="36"/>
        </w:rPr>
        <w:t>A</w:t>
      </w:r>
      <w:r>
        <w:rPr>
          <w:color w:val="0070C0"/>
          <w:sz w:val="36"/>
          <w:szCs w:val="36"/>
        </w:rPr>
        <w:t>ssessment</w:t>
      </w:r>
    </w:p>
    <w:p w14:paraId="6B7C832C" w14:textId="0C0AD111" w:rsidR="00E82C9A" w:rsidRDefault="00E82C9A" w:rsidP="00D17732">
      <w:r>
        <w:t xml:space="preserve">A panel of ARC </w:t>
      </w:r>
      <w:r w:rsidR="008663F5">
        <w:t>Victoria</w:t>
      </w:r>
      <w:r w:rsidR="00DC55CE">
        <w:t>n</w:t>
      </w:r>
      <w:r w:rsidR="008663F5">
        <w:t xml:space="preserve"> Branch </w:t>
      </w:r>
      <w:r>
        <w:t xml:space="preserve">Members will review the </w:t>
      </w:r>
      <w:r w:rsidR="00EA3702">
        <w:t>applications</w:t>
      </w:r>
      <w:r>
        <w:t xml:space="preserve"> which will be assessed according to the selection criteria below. </w:t>
      </w:r>
    </w:p>
    <w:p w14:paraId="22C12034" w14:textId="77777777" w:rsidR="00E82C9A" w:rsidRDefault="00E82C9A" w:rsidP="00E82C9A">
      <w:pPr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Selection Criteria</w:t>
      </w:r>
    </w:p>
    <w:p w14:paraId="0D8C7025" w14:textId="4994F256" w:rsidR="00776DBA" w:rsidRDefault="008663F5" w:rsidP="00E82C9A">
      <w:pPr>
        <w:pStyle w:val="ListParagraph"/>
        <w:numPr>
          <w:ilvl w:val="0"/>
          <w:numId w:val="4"/>
        </w:numPr>
      </w:pPr>
      <w:r>
        <w:t xml:space="preserve">Relevance to aims of the </w:t>
      </w:r>
      <w:r w:rsidR="00776DBA">
        <w:t>Scheme (10%)</w:t>
      </w:r>
    </w:p>
    <w:p w14:paraId="65FD300C" w14:textId="33AA6F22" w:rsidR="00E82C9A" w:rsidRDefault="00D17732" w:rsidP="00E82C9A">
      <w:pPr>
        <w:pStyle w:val="ListParagraph"/>
        <w:numPr>
          <w:ilvl w:val="0"/>
          <w:numId w:val="4"/>
        </w:numPr>
      </w:pPr>
      <w:r>
        <w:t>Scientific quality (</w:t>
      </w:r>
      <w:r w:rsidR="00776DBA">
        <w:t>40</w:t>
      </w:r>
      <w:r w:rsidR="00E82C9A">
        <w:t>%)</w:t>
      </w:r>
    </w:p>
    <w:p w14:paraId="3D292F4D" w14:textId="77777777" w:rsidR="00E82C9A" w:rsidRDefault="00E82C9A" w:rsidP="00E82C9A">
      <w:pPr>
        <w:pStyle w:val="ListParagraph"/>
        <w:numPr>
          <w:ilvl w:val="0"/>
          <w:numId w:val="4"/>
        </w:numPr>
      </w:pPr>
      <w:r>
        <w:t>Significanc</w:t>
      </w:r>
      <w:r w:rsidR="00EA3702">
        <w:t>e (1</w:t>
      </w:r>
      <w:r>
        <w:t>5%)</w:t>
      </w:r>
    </w:p>
    <w:p w14:paraId="700868DF" w14:textId="77777777" w:rsidR="00EA3702" w:rsidRDefault="00EA3702" w:rsidP="00E82C9A">
      <w:pPr>
        <w:pStyle w:val="ListParagraph"/>
        <w:numPr>
          <w:ilvl w:val="0"/>
          <w:numId w:val="4"/>
        </w:numPr>
      </w:pPr>
      <w:r>
        <w:t>Feasibility (10%)</w:t>
      </w:r>
    </w:p>
    <w:p w14:paraId="0DAC334B" w14:textId="77777777" w:rsidR="00E82C9A" w:rsidRDefault="00E82C9A" w:rsidP="00E82C9A">
      <w:pPr>
        <w:pStyle w:val="ListParagraph"/>
        <w:numPr>
          <w:ilvl w:val="0"/>
          <w:numId w:val="4"/>
        </w:numPr>
      </w:pPr>
      <w:r>
        <w:t>Track record of team (25%)</w:t>
      </w:r>
    </w:p>
    <w:p w14:paraId="22387686" w14:textId="77777777" w:rsidR="00234647" w:rsidRDefault="0019362F" w:rsidP="00234647">
      <w:r>
        <w:lastRenderedPageBreak/>
        <w:t xml:space="preserve">Feedback will not be provided for any applications. </w:t>
      </w:r>
    </w:p>
    <w:p w14:paraId="6B27C7F2" w14:textId="74499A57" w:rsidR="006F1749" w:rsidRDefault="0017088E" w:rsidP="00D17732">
      <w:r>
        <w:t xml:space="preserve">There is no appeal process. The ARC </w:t>
      </w:r>
      <w:r w:rsidR="00776DBA">
        <w:t>Victoria</w:t>
      </w:r>
      <w:r w:rsidR="00DC55CE">
        <w:t>n</w:t>
      </w:r>
      <w:r w:rsidR="00776DBA">
        <w:t xml:space="preserve"> Branch </w:t>
      </w:r>
      <w:r>
        <w:t xml:space="preserve">reserves the right to apply the research funding as it deems appropriate. </w:t>
      </w:r>
    </w:p>
    <w:p w14:paraId="702E83E0" w14:textId="77777777" w:rsidR="003134DB" w:rsidRDefault="003134DB" w:rsidP="003134DB">
      <w:pPr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 xml:space="preserve">Contact </w:t>
      </w:r>
    </w:p>
    <w:p w14:paraId="4386170B" w14:textId="76A3CF44" w:rsidR="00D53774" w:rsidRPr="00742224" w:rsidRDefault="003134DB" w:rsidP="00D17732">
      <w:pPr>
        <w:jc w:val="both"/>
      </w:pPr>
      <w:r>
        <w:rPr>
          <w:szCs w:val="24"/>
        </w:rPr>
        <w:t xml:space="preserve">Queries and applications should be directed to </w:t>
      </w:r>
      <w:hyperlink r:id="rId10" w:history="1">
        <w:r w:rsidR="00D54717" w:rsidRPr="005E3ABC">
          <w:rPr>
            <w:rStyle w:val="Hyperlink"/>
            <w:szCs w:val="24"/>
          </w:rPr>
          <w:t>arc_vic@resus.org.au</w:t>
        </w:r>
      </w:hyperlink>
      <w:r w:rsidR="00D54717">
        <w:rPr>
          <w:szCs w:val="24"/>
        </w:rPr>
        <w:t xml:space="preserve"> </w:t>
      </w:r>
    </w:p>
    <w:sectPr w:rsidR="00D53774" w:rsidRPr="00742224" w:rsidSect="00742224">
      <w:headerReference w:type="even" r:id="rId11"/>
      <w:headerReference w:type="default" r:id="rId12"/>
      <w:headerReference w:type="first" r:id="rId13"/>
      <w:pgSz w:w="11906" w:h="16838"/>
      <w:pgMar w:top="1134" w:right="851" w:bottom="1134" w:left="1134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FD2D" w14:textId="77777777" w:rsidR="00904836" w:rsidRDefault="00904836" w:rsidP="00026051">
      <w:pPr>
        <w:spacing w:after="0" w:line="240" w:lineRule="auto"/>
      </w:pPr>
      <w:r>
        <w:separator/>
      </w:r>
    </w:p>
  </w:endnote>
  <w:endnote w:type="continuationSeparator" w:id="0">
    <w:p w14:paraId="64C7CA53" w14:textId="77777777" w:rsidR="00904836" w:rsidRDefault="00904836" w:rsidP="00026051">
      <w:pPr>
        <w:spacing w:after="0" w:line="240" w:lineRule="auto"/>
      </w:pPr>
      <w:r>
        <w:continuationSeparator/>
      </w:r>
    </w:p>
  </w:endnote>
  <w:endnote w:type="continuationNotice" w:id="1">
    <w:p w14:paraId="0DF28186" w14:textId="77777777" w:rsidR="00904836" w:rsidRDefault="009048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3618" w14:textId="77777777" w:rsidR="00904836" w:rsidRDefault="00904836" w:rsidP="00026051">
      <w:pPr>
        <w:spacing w:after="0" w:line="240" w:lineRule="auto"/>
      </w:pPr>
      <w:r>
        <w:separator/>
      </w:r>
    </w:p>
  </w:footnote>
  <w:footnote w:type="continuationSeparator" w:id="0">
    <w:p w14:paraId="37388E47" w14:textId="77777777" w:rsidR="00904836" w:rsidRDefault="00904836" w:rsidP="00026051">
      <w:pPr>
        <w:spacing w:after="0" w:line="240" w:lineRule="auto"/>
      </w:pPr>
      <w:r>
        <w:continuationSeparator/>
      </w:r>
    </w:p>
  </w:footnote>
  <w:footnote w:type="continuationNotice" w:id="1">
    <w:p w14:paraId="7AC71E8F" w14:textId="77777777" w:rsidR="00904836" w:rsidRDefault="009048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2697" w14:textId="6C604867" w:rsidR="00026051" w:rsidRDefault="000260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C69765" wp14:editId="5469FD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66768554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A7919" w14:textId="44F48A66" w:rsidR="00026051" w:rsidRPr="00026051" w:rsidRDefault="00026051" w:rsidP="000260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0260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6976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36AA7919" w14:textId="44F48A66" w:rsidR="00026051" w:rsidRPr="00026051" w:rsidRDefault="00026051" w:rsidP="000260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026051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09E3" w14:textId="14A7E50E" w:rsidR="00026051" w:rsidRDefault="000260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80B0715" wp14:editId="00B85DE4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97230323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0F762" w14:textId="1B5F305D" w:rsidR="00026051" w:rsidRPr="00026051" w:rsidRDefault="00026051" w:rsidP="000260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0260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B0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1440F762" w14:textId="1B5F305D" w:rsidR="00026051" w:rsidRPr="00026051" w:rsidRDefault="00026051" w:rsidP="000260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026051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93B2" w14:textId="43FC5B33" w:rsidR="00026051" w:rsidRDefault="000260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3437949" wp14:editId="37D901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9594231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67818" w14:textId="72BA138C" w:rsidR="00026051" w:rsidRPr="00026051" w:rsidRDefault="00026051" w:rsidP="000260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0260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379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65867818" w14:textId="72BA138C" w:rsidR="00026051" w:rsidRPr="00026051" w:rsidRDefault="00026051" w:rsidP="000260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026051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91F64"/>
    <w:multiLevelType w:val="hybridMultilevel"/>
    <w:tmpl w:val="C8BA04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3B4309"/>
    <w:multiLevelType w:val="hybridMultilevel"/>
    <w:tmpl w:val="02FA9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592B"/>
    <w:multiLevelType w:val="hybridMultilevel"/>
    <w:tmpl w:val="3AA64E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5C5EDB"/>
    <w:multiLevelType w:val="hybridMultilevel"/>
    <w:tmpl w:val="A17A74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3752220">
    <w:abstractNumId w:val="1"/>
  </w:num>
  <w:num w:numId="2" w16cid:durableId="1995523008">
    <w:abstractNumId w:val="0"/>
  </w:num>
  <w:num w:numId="3" w16cid:durableId="6488634">
    <w:abstractNumId w:val="2"/>
  </w:num>
  <w:num w:numId="4" w16cid:durableId="1331905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74"/>
    <w:rsid w:val="000055F0"/>
    <w:rsid w:val="00005C2B"/>
    <w:rsid w:val="00026051"/>
    <w:rsid w:val="00026EA6"/>
    <w:rsid w:val="00034636"/>
    <w:rsid w:val="00040884"/>
    <w:rsid w:val="000969EA"/>
    <w:rsid w:val="000E02E7"/>
    <w:rsid w:val="00161A62"/>
    <w:rsid w:val="0017088E"/>
    <w:rsid w:val="00177459"/>
    <w:rsid w:val="0019362F"/>
    <w:rsid w:val="001D3B4A"/>
    <w:rsid w:val="001D4D4D"/>
    <w:rsid w:val="00234647"/>
    <w:rsid w:val="00252890"/>
    <w:rsid w:val="00274E52"/>
    <w:rsid w:val="0030249B"/>
    <w:rsid w:val="003134DB"/>
    <w:rsid w:val="003144BE"/>
    <w:rsid w:val="00314D5C"/>
    <w:rsid w:val="00320F14"/>
    <w:rsid w:val="00327691"/>
    <w:rsid w:val="00343688"/>
    <w:rsid w:val="0038571E"/>
    <w:rsid w:val="003A2DE1"/>
    <w:rsid w:val="003B0803"/>
    <w:rsid w:val="003B6904"/>
    <w:rsid w:val="004A7C52"/>
    <w:rsid w:val="004B2907"/>
    <w:rsid w:val="004B4944"/>
    <w:rsid w:val="004C7861"/>
    <w:rsid w:val="004F6F3C"/>
    <w:rsid w:val="00514B22"/>
    <w:rsid w:val="005217D1"/>
    <w:rsid w:val="005249F3"/>
    <w:rsid w:val="00550738"/>
    <w:rsid w:val="005A2EB0"/>
    <w:rsid w:val="005D7878"/>
    <w:rsid w:val="005E72BE"/>
    <w:rsid w:val="00610683"/>
    <w:rsid w:val="00671021"/>
    <w:rsid w:val="0068084F"/>
    <w:rsid w:val="006D4285"/>
    <w:rsid w:val="006F1749"/>
    <w:rsid w:val="00701E8C"/>
    <w:rsid w:val="00742224"/>
    <w:rsid w:val="00752D9D"/>
    <w:rsid w:val="00772B08"/>
    <w:rsid w:val="00776DBA"/>
    <w:rsid w:val="00782CF1"/>
    <w:rsid w:val="007B0BFB"/>
    <w:rsid w:val="007B1F70"/>
    <w:rsid w:val="007C1C25"/>
    <w:rsid w:val="0080013A"/>
    <w:rsid w:val="00801F05"/>
    <w:rsid w:val="00812ED7"/>
    <w:rsid w:val="00840152"/>
    <w:rsid w:val="008663F5"/>
    <w:rsid w:val="008810F6"/>
    <w:rsid w:val="0088119E"/>
    <w:rsid w:val="00882A81"/>
    <w:rsid w:val="00886376"/>
    <w:rsid w:val="008C295E"/>
    <w:rsid w:val="00904836"/>
    <w:rsid w:val="00920B4F"/>
    <w:rsid w:val="009506ED"/>
    <w:rsid w:val="009512F5"/>
    <w:rsid w:val="0096060A"/>
    <w:rsid w:val="0096284A"/>
    <w:rsid w:val="0099663B"/>
    <w:rsid w:val="009A7CB8"/>
    <w:rsid w:val="009A7EB7"/>
    <w:rsid w:val="009C7152"/>
    <w:rsid w:val="00A17CD4"/>
    <w:rsid w:val="00AB2531"/>
    <w:rsid w:val="00AB3486"/>
    <w:rsid w:val="00AB7F0E"/>
    <w:rsid w:val="00AE1791"/>
    <w:rsid w:val="00B37818"/>
    <w:rsid w:val="00B536C8"/>
    <w:rsid w:val="00B6026D"/>
    <w:rsid w:val="00BA7D7B"/>
    <w:rsid w:val="00BB4A90"/>
    <w:rsid w:val="00BB5D21"/>
    <w:rsid w:val="00BC17D0"/>
    <w:rsid w:val="00BF2914"/>
    <w:rsid w:val="00C11132"/>
    <w:rsid w:val="00C224EC"/>
    <w:rsid w:val="00C25F0E"/>
    <w:rsid w:val="00C3242C"/>
    <w:rsid w:val="00C471BC"/>
    <w:rsid w:val="00C569B9"/>
    <w:rsid w:val="00C9223B"/>
    <w:rsid w:val="00C93ED6"/>
    <w:rsid w:val="00CA7ED1"/>
    <w:rsid w:val="00CB13C2"/>
    <w:rsid w:val="00CE696F"/>
    <w:rsid w:val="00CF4281"/>
    <w:rsid w:val="00D17732"/>
    <w:rsid w:val="00D53774"/>
    <w:rsid w:val="00D539B0"/>
    <w:rsid w:val="00D54717"/>
    <w:rsid w:val="00D55BC4"/>
    <w:rsid w:val="00DA7C38"/>
    <w:rsid w:val="00DB7440"/>
    <w:rsid w:val="00DC55CE"/>
    <w:rsid w:val="00DC61FC"/>
    <w:rsid w:val="00DD7AF5"/>
    <w:rsid w:val="00E24FEC"/>
    <w:rsid w:val="00E32EFE"/>
    <w:rsid w:val="00E34405"/>
    <w:rsid w:val="00E74EB8"/>
    <w:rsid w:val="00E82C9A"/>
    <w:rsid w:val="00E92C9A"/>
    <w:rsid w:val="00E9799A"/>
    <w:rsid w:val="00EA3702"/>
    <w:rsid w:val="00EB5091"/>
    <w:rsid w:val="00ED5B04"/>
    <w:rsid w:val="00F33E9B"/>
    <w:rsid w:val="00F5281E"/>
    <w:rsid w:val="00F53E87"/>
    <w:rsid w:val="00F73AF5"/>
    <w:rsid w:val="00F86827"/>
    <w:rsid w:val="00F9273B"/>
    <w:rsid w:val="00FA10E8"/>
    <w:rsid w:val="00FD62DD"/>
    <w:rsid w:val="00FE1320"/>
    <w:rsid w:val="00FF2031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FA08"/>
  <w15:chartTrackingRefBased/>
  <w15:docId w15:val="{9C3F488A-79BA-4E13-AB04-A0937A39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B2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3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13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6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6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051"/>
    <w:rPr>
      <w:sz w:val="24"/>
    </w:rPr>
  </w:style>
  <w:style w:type="paragraph" w:styleId="Revision">
    <w:name w:val="Revision"/>
    <w:hidden/>
    <w:uiPriority w:val="99"/>
    <w:semiHidden/>
    <w:rsid w:val="00026051"/>
    <w:pPr>
      <w:spacing w:after="0" w:line="240" w:lineRule="auto"/>
    </w:pPr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26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05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D6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c_vic@resus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us.org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8B457-756D-4A1A-9D7F-8CAAC55A1A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350691e-8307-40bd-883b-739c3248eee7}" enabled="1" method="Privileged" siteId="{86b0e251-f8cb-4d7a-abd2-36a8896457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Bray</dc:creator>
  <cp:keywords/>
  <dc:description/>
  <cp:lastModifiedBy>Mark Sugarman</cp:lastModifiedBy>
  <cp:revision>5</cp:revision>
  <cp:lastPrinted>2016-05-31T00:35:00Z</cp:lastPrinted>
  <dcterms:created xsi:type="dcterms:W3CDTF">2025-04-30T07:01:00Z</dcterms:created>
  <dcterms:modified xsi:type="dcterms:W3CDTF">2025-05-02T00:45:00Z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392fa2d3,27cc12a4,758ef584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</Properties>
</file>